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F9EA" w14:textId="77777777" w:rsidR="00CF2D8E" w:rsidRDefault="00CF2D8E">
      <w:pPr>
        <w:rPr>
          <w:lang w:val="en-US"/>
        </w:rPr>
      </w:pPr>
    </w:p>
    <w:p w14:paraId="37F02905" w14:textId="77777777" w:rsidR="006A3A80" w:rsidRDefault="006A3A80" w:rsidP="00B51CED">
      <w:pPr>
        <w:jc w:val="center"/>
        <w:rPr>
          <w:rFonts w:ascii="Mangal Pro" w:hAnsi="Mangal Pro" w:cs="Mangal Pro"/>
          <w:sz w:val="30"/>
          <w:szCs w:val="30"/>
          <w:lang w:val="en-US"/>
        </w:rPr>
      </w:pPr>
    </w:p>
    <w:p w14:paraId="38494BE1" w14:textId="313E23CC" w:rsidR="00B51CED" w:rsidRPr="00B51CED" w:rsidRDefault="00B51CED" w:rsidP="00B51CED">
      <w:pPr>
        <w:jc w:val="center"/>
        <w:rPr>
          <w:rFonts w:ascii="Mangal Pro" w:hAnsi="Mangal Pro" w:cs="Mangal Pro"/>
          <w:sz w:val="30"/>
          <w:szCs w:val="30"/>
          <w:lang w:val="en-US"/>
        </w:rPr>
      </w:pPr>
      <w:r w:rsidRPr="00B51CED">
        <w:rPr>
          <w:rFonts w:ascii="Mangal Pro" w:hAnsi="Mangal Pro" w:cs="Mangal Pro"/>
          <w:sz w:val="30"/>
          <w:szCs w:val="30"/>
          <w:lang w:val="en-US"/>
        </w:rPr>
        <w:t>Doctrinal Basis</w:t>
      </w:r>
    </w:p>
    <w:p w14:paraId="01657CAE" w14:textId="0782F85D" w:rsidR="002519BC" w:rsidRPr="002519BC" w:rsidRDefault="002519BC" w:rsidP="002519BC">
      <w:pPr>
        <w:spacing w:line="276" w:lineRule="auto"/>
        <w:rPr>
          <w:rFonts w:ascii="Mangal Pro" w:hAnsi="Mangal Pro" w:cs="Mangal Pro"/>
          <w:sz w:val="19"/>
          <w:szCs w:val="19"/>
        </w:rPr>
      </w:pPr>
      <w:r w:rsidRPr="006A3A80">
        <w:rPr>
          <w:rFonts w:ascii="Mangal Pro" w:hAnsi="Mangal Pro" w:cs="Mangal Pro"/>
          <w:b/>
          <w:bCs/>
          <w:color w:val="54AA4A"/>
          <w:sz w:val="19"/>
          <w:szCs w:val="19"/>
        </w:rPr>
        <w:t>(A)</w:t>
      </w:r>
      <w:r w:rsidRPr="002519BC">
        <w:rPr>
          <w:rFonts w:ascii="Mangal Pro" w:hAnsi="Mangal Pro" w:cs="Mangal Pro"/>
          <w:sz w:val="19"/>
          <w:szCs w:val="19"/>
        </w:rPr>
        <w:t xml:space="preserve"> The existence of one, eternal immutable God, Creator and Lord of the universe, who in the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unity of the Father, Son and the Holy Spirit, both governs all things according to his will and is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accomplishing his purposes in the world and in the Church.</w:t>
      </w:r>
    </w:p>
    <w:p w14:paraId="5FCCCE32" w14:textId="31147B23" w:rsidR="002519BC" w:rsidRPr="002519BC" w:rsidRDefault="002519BC" w:rsidP="002519BC">
      <w:pPr>
        <w:spacing w:line="276" w:lineRule="auto"/>
        <w:rPr>
          <w:rFonts w:ascii="Mangal Pro" w:hAnsi="Mangal Pro" w:cs="Mangal Pro"/>
          <w:sz w:val="19"/>
          <w:szCs w:val="19"/>
        </w:rPr>
      </w:pPr>
      <w:r w:rsidRPr="006A3A80">
        <w:rPr>
          <w:rFonts w:ascii="Mangal Pro" w:hAnsi="Mangal Pro" w:cs="Mangal Pro"/>
          <w:b/>
          <w:bCs/>
          <w:color w:val="54AA4A"/>
          <w:sz w:val="19"/>
          <w:szCs w:val="19"/>
        </w:rPr>
        <w:t>(B)</w:t>
      </w:r>
      <w:r w:rsidRPr="006A3A80">
        <w:rPr>
          <w:rFonts w:ascii="Mangal Pro" w:hAnsi="Mangal Pro" w:cs="Mangal Pro"/>
          <w:color w:val="54AA4A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The Bible, as originally given, is the inspired, inerrant and infallible word of God. Christians must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therefore submit to its supreme authority and sufficiency, both individually and corporately, in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every matter of belief and conduct.</w:t>
      </w:r>
    </w:p>
    <w:p w14:paraId="4B73C480" w14:textId="420D3D0F" w:rsidR="002519BC" w:rsidRPr="002519BC" w:rsidRDefault="002519BC" w:rsidP="002519BC">
      <w:pPr>
        <w:spacing w:line="276" w:lineRule="auto"/>
        <w:rPr>
          <w:rFonts w:ascii="Mangal Pro" w:hAnsi="Mangal Pro" w:cs="Mangal Pro"/>
          <w:sz w:val="19"/>
          <w:szCs w:val="19"/>
        </w:rPr>
      </w:pPr>
      <w:r w:rsidRPr="006A3A80">
        <w:rPr>
          <w:rFonts w:ascii="Mangal Pro" w:hAnsi="Mangal Pro" w:cs="Mangal Pro"/>
          <w:b/>
          <w:bCs/>
          <w:color w:val="54AA4A"/>
          <w:sz w:val="19"/>
          <w:szCs w:val="19"/>
        </w:rPr>
        <w:t>(C)</w:t>
      </w:r>
      <w:r w:rsidRPr="006A3A80">
        <w:rPr>
          <w:rFonts w:ascii="Mangal Pro" w:hAnsi="Mangal Pro" w:cs="Mangal Pro"/>
          <w:color w:val="54AA4A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The inherent value of all human beings, made by God in his own likeness, and their sinfulness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and guilt since the Fall. This has rendered them subject to God’s wrath and condemnation, and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has resulted in their alienation from his life, suppression of his truth, and hostility to his law.</w:t>
      </w:r>
    </w:p>
    <w:p w14:paraId="6D497E47" w14:textId="6FDD17E4" w:rsidR="002519BC" w:rsidRPr="002519BC" w:rsidRDefault="002519BC" w:rsidP="002519BC">
      <w:pPr>
        <w:spacing w:line="276" w:lineRule="auto"/>
        <w:rPr>
          <w:rFonts w:ascii="Mangal Pro" w:hAnsi="Mangal Pro" w:cs="Mangal Pro"/>
          <w:sz w:val="19"/>
          <w:szCs w:val="19"/>
        </w:rPr>
      </w:pPr>
      <w:r w:rsidRPr="006A3A80">
        <w:rPr>
          <w:rFonts w:ascii="Mangal Pro" w:hAnsi="Mangal Pro" w:cs="Mangal Pro"/>
          <w:b/>
          <w:bCs/>
          <w:color w:val="54AA4A"/>
          <w:sz w:val="19"/>
          <w:szCs w:val="19"/>
        </w:rPr>
        <w:t>(D)</w:t>
      </w:r>
      <w:r w:rsidRPr="006A3A80">
        <w:rPr>
          <w:rFonts w:ascii="Mangal Pro" w:hAnsi="Mangal Pro" w:cs="Mangal Pro"/>
          <w:color w:val="54AA4A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 xml:space="preserve">The Lord Jesus </w:t>
      </w:r>
      <w:proofErr w:type="gramStart"/>
      <w:r w:rsidRPr="002519BC">
        <w:rPr>
          <w:rFonts w:ascii="Mangal Pro" w:hAnsi="Mangal Pro" w:cs="Mangal Pro"/>
          <w:sz w:val="19"/>
          <w:szCs w:val="19"/>
        </w:rPr>
        <w:t>Christ ,</w:t>
      </w:r>
      <w:proofErr w:type="gramEnd"/>
      <w:r w:rsidRPr="002519BC">
        <w:rPr>
          <w:rFonts w:ascii="Mangal Pro" w:hAnsi="Mangal Pro" w:cs="Mangal Pro"/>
          <w:sz w:val="19"/>
          <w:szCs w:val="19"/>
        </w:rPr>
        <w:t xml:space="preserve"> God’s incarnate Son, is fully God; he was born of a virgin; his humanity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is real and sinless; he died on the cross, was raised bodily from death and is now reigning over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heaven and earth.</w:t>
      </w:r>
    </w:p>
    <w:p w14:paraId="31B92ACD" w14:textId="0925FB9A" w:rsidR="002519BC" w:rsidRPr="002519BC" w:rsidRDefault="002519BC" w:rsidP="002519BC">
      <w:pPr>
        <w:spacing w:line="276" w:lineRule="auto"/>
        <w:rPr>
          <w:rFonts w:ascii="Mangal Pro" w:hAnsi="Mangal Pro" w:cs="Mangal Pro"/>
          <w:sz w:val="19"/>
          <w:szCs w:val="19"/>
        </w:rPr>
      </w:pPr>
      <w:r w:rsidRPr="006A3A80">
        <w:rPr>
          <w:rFonts w:ascii="Mangal Pro" w:hAnsi="Mangal Pro" w:cs="Mangal Pro"/>
          <w:b/>
          <w:bCs/>
          <w:color w:val="54AA4A"/>
          <w:sz w:val="19"/>
          <w:szCs w:val="19"/>
        </w:rPr>
        <w:t>(E)</w:t>
      </w:r>
      <w:r w:rsidRPr="006A3A80">
        <w:rPr>
          <w:rFonts w:ascii="Mangal Pro" w:hAnsi="Mangal Pro" w:cs="Mangal Pro"/>
          <w:color w:val="54AA4A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Salvation from guilt, penalty and all other consequences of sin solely through the work of Jesus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Christ — his perfect obedience, penal substitutionary death, bodily resurrection and exaltation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as Lord. He alone is truly God and truly man, the only mediator between God and man.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There is salvation through no other person, creed, process or power. The entirety of a sinner’s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justification, from beginning to end, is only by his grace alone appropriated through faith alone.</w:t>
      </w:r>
    </w:p>
    <w:p w14:paraId="43E31469" w14:textId="531E62CE" w:rsidR="002519BC" w:rsidRPr="002519BC" w:rsidRDefault="002519BC" w:rsidP="002519BC">
      <w:pPr>
        <w:spacing w:line="276" w:lineRule="auto"/>
        <w:rPr>
          <w:rFonts w:ascii="Mangal Pro" w:hAnsi="Mangal Pro" w:cs="Mangal Pro"/>
          <w:sz w:val="19"/>
          <w:szCs w:val="19"/>
        </w:rPr>
      </w:pPr>
      <w:r w:rsidRPr="006A3A80">
        <w:rPr>
          <w:rFonts w:ascii="Mangal Pro" w:hAnsi="Mangal Pro" w:cs="Mangal Pro"/>
          <w:b/>
          <w:bCs/>
          <w:color w:val="54AA4A"/>
          <w:sz w:val="19"/>
          <w:szCs w:val="19"/>
        </w:rPr>
        <w:t>(F)</w:t>
      </w:r>
      <w:r w:rsidRPr="006A3A80">
        <w:rPr>
          <w:rFonts w:ascii="Mangal Pro" w:hAnsi="Mangal Pro" w:cs="Mangal Pro"/>
          <w:color w:val="54AA4A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 xml:space="preserve">Before the foundation of the world God in his mercy chose a people for himself out of </w:t>
      </w:r>
      <w:proofErr w:type="gramStart"/>
      <w:r w:rsidRPr="002519BC">
        <w:rPr>
          <w:rFonts w:ascii="Mangal Pro" w:hAnsi="Mangal Pro" w:cs="Mangal Pro"/>
          <w:sz w:val="19"/>
          <w:szCs w:val="19"/>
        </w:rPr>
        <w:t>the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human race</w:t>
      </w:r>
      <w:proofErr w:type="gramEnd"/>
      <w:r w:rsidRPr="002519BC">
        <w:rPr>
          <w:rFonts w:ascii="Mangal Pro" w:hAnsi="Mangal Pro" w:cs="Mangal Pro"/>
          <w:sz w:val="19"/>
          <w:szCs w:val="19"/>
        </w:rPr>
        <w:t xml:space="preserve">. He did not choose them </w:t>
      </w:r>
      <w:proofErr w:type="gramStart"/>
      <w:r w:rsidRPr="002519BC">
        <w:rPr>
          <w:rFonts w:ascii="Mangal Pro" w:hAnsi="Mangal Pro" w:cs="Mangal Pro"/>
          <w:sz w:val="19"/>
          <w:szCs w:val="19"/>
        </w:rPr>
        <w:t>on the basis of</w:t>
      </w:r>
      <w:proofErr w:type="gramEnd"/>
      <w:r w:rsidRPr="002519BC">
        <w:rPr>
          <w:rFonts w:ascii="Mangal Pro" w:hAnsi="Mangal Pro" w:cs="Mangal Pro"/>
          <w:sz w:val="19"/>
          <w:szCs w:val="19"/>
        </w:rPr>
        <w:t xml:space="preserve"> their foreseen faith or works, but solely</w:t>
      </w:r>
      <w:r>
        <w:rPr>
          <w:rFonts w:ascii="Mangal Pro" w:hAnsi="Mangal Pro" w:cs="Mangal Pro"/>
          <w:sz w:val="19"/>
          <w:szCs w:val="19"/>
        </w:rPr>
        <w:t xml:space="preserve"> </w:t>
      </w:r>
      <w:proofErr w:type="gramStart"/>
      <w:r w:rsidRPr="002519BC">
        <w:rPr>
          <w:rFonts w:ascii="Mangal Pro" w:hAnsi="Mangal Pro" w:cs="Mangal Pro"/>
          <w:sz w:val="19"/>
          <w:szCs w:val="19"/>
        </w:rPr>
        <w:t>on the basis of</w:t>
      </w:r>
      <w:proofErr w:type="gramEnd"/>
      <w:r w:rsidRPr="002519BC">
        <w:rPr>
          <w:rFonts w:ascii="Mangal Pro" w:hAnsi="Mangal Pro" w:cs="Mangal Pro"/>
          <w:sz w:val="19"/>
          <w:szCs w:val="19"/>
        </w:rPr>
        <w:t xml:space="preserve"> his perfect desire to glorify himself in his Son by their redemption.</w:t>
      </w:r>
    </w:p>
    <w:p w14:paraId="70ED4ABA" w14:textId="73395C92" w:rsidR="002519BC" w:rsidRPr="002519BC" w:rsidRDefault="002519BC" w:rsidP="002519BC">
      <w:pPr>
        <w:spacing w:line="276" w:lineRule="auto"/>
        <w:rPr>
          <w:rFonts w:ascii="Mangal Pro" w:hAnsi="Mangal Pro" w:cs="Mangal Pro"/>
          <w:sz w:val="19"/>
          <w:szCs w:val="19"/>
        </w:rPr>
      </w:pPr>
      <w:r w:rsidRPr="006A3A80">
        <w:rPr>
          <w:rFonts w:ascii="Mangal Pro" w:hAnsi="Mangal Pro" w:cs="Mangal Pro"/>
          <w:b/>
          <w:bCs/>
          <w:color w:val="54AA4A"/>
          <w:sz w:val="19"/>
          <w:szCs w:val="19"/>
        </w:rPr>
        <w:t>(G)</w:t>
      </w:r>
      <w:r w:rsidRPr="006A3A80">
        <w:rPr>
          <w:rFonts w:ascii="Mangal Pro" w:hAnsi="Mangal Pro" w:cs="Mangal Pro"/>
          <w:color w:val="54AA4A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The necessity and sufficiency of the work of the Holy Spirit for the individual’s new birth and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growth to maturity, and for the Church’s constant renewal in truth, wisdom, faith, holiness, love,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power and mission.</w:t>
      </w:r>
    </w:p>
    <w:p w14:paraId="14452409" w14:textId="7F8946B7" w:rsidR="002519BC" w:rsidRPr="002519BC" w:rsidRDefault="002519BC" w:rsidP="002519BC">
      <w:pPr>
        <w:spacing w:line="276" w:lineRule="auto"/>
        <w:rPr>
          <w:rFonts w:ascii="Mangal Pro" w:hAnsi="Mangal Pro" w:cs="Mangal Pro"/>
          <w:sz w:val="19"/>
          <w:szCs w:val="19"/>
        </w:rPr>
      </w:pPr>
      <w:r w:rsidRPr="006A3A80">
        <w:rPr>
          <w:rFonts w:ascii="Mangal Pro" w:hAnsi="Mangal Pro" w:cs="Mangal Pro"/>
          <w:b/>
          <w:bCs/>
          <w:color w:val="54AA4A"/>
          <w:sz w:val="19"/>
          <w:szCs w:val="19"/>
        </w:rPr>
        <w:t>(H)</w:t>
      </w:r>
      <w:r w:rsidRPr="006A3A80">
        <w:rPr>
          <w:rFonts w:ascii="Mangal Pro" w:hAnsi="Mangal Pro" w:cs="Mangal Pro"/>
          <w:color w:val="54AA4A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The only holy universal church is the Body of Christ, to which all true believers belong. The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Church’s calling is to worship and serve God in the world, to proclaim and defend his truth, to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exhibit his character and to demonstrate the reality of his new order.</w:t>
      </w:r>
    </w:p>
    <w:p w14:paraId="49DA3BB0" w14:textId="7EC72798" w:rsidR="00B51CED" w:rsidRPr="002519BC" w:rsidRDefault="002519BC" w:rsidP="002519BC">
      <w:pPr>
        <w:spacing w:line="276" w:lineRule="auto"/>
        <w:rPr>
          <w:rFonts w:ascii="Mangal Pro" w:hAnsi="Mangal Pro" w:cs="Mangal Pro"/>
          <w:sz w:val="19"/>
          <w:szCs w:val="19"/>
          <w:lang w:val="en-US"/>
        </w:rPr>
      </w:pPr>
      <w:r w:rsidRPr="006A3A80">
        <w:rPr>
          <w:rFonts w:ascii="Mangal Pro" w:hAnsi="Mangal Pro" w:cs="Mangal Pro"/>
          <w:b/>
          <w:bCs/>
          <w:color w:val="54AA4A"/>
          <w:sz w:val="19"/>
          <w:szCs w:val="19"/>
        </w:rPr>
        <w:t>(I)</w:t>
      </w:r>
      <w:r w:rsidRPr="006A3A80">
        <w:rPr>
          <w:rFonts w:ascii="Mangal Pro" w:hAnsi="Mangal Pro" w:cs="Mangal Pro"/>
          <w:color w:val="54AA4A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The personal and visible return in glory of the Lord Jesus Christ to raise the dead and bring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salvation and judgement to final completion. God will fully establish his kingdom when he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creates a new heaven and a new earth from which evil and evildoers, suffering and death will</w:t>
      </w:r>
      <w:r>
        <w:rPr>
          <w:rFonts w:ascii="Mangal Pro" w:hAnsi="Mangal Pro" w:cs="Mangal Pro"/>
          <w:sz w:val="19"/>
          <w:szCs w:val="19"/>
        </w:rPr>
        <w:t xml:space="preserve"> </w:t>
      </w:r>
      <w:r w:rsidRPr="002519BC">
        <w:rPr>
          <w:rFonts w:ascii="Mangal Pro" w:hAnsi="Mangal Pro" w:cs="Mangal Pro"/>
          <w:sz w:val="19"/>
          <w:szCs w:val="19"/>
        </w:rPr>
        <w:t>be excluded, and in which he will be glorified for ever.</w:t>
      </w:r>
    </w:p>
    <w:sectPr w:rsidR="00B51CED" w:rsidRPr="002519BC" w:rsidSect="00B51CE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DB19" w14:textId="77777777" w:rsidR="00844C53" w:rsidRDefault="00844C53" w:rsidP="00B51CED">
      <w:pPr>
        <w:spacing w:after="0" w:line="240" w:lineRule="auto"/>
      </w:pPr>
      <w:r>
        <w:separator/>
      </w:r>
    </w:p>
  </w:endnote>
  <w:endnote w:type="continuationSeparator" w:id="0">
    <w:p w14:paraId="1C0114CF" w14:textId="77777777" w:rsidR="00844C53" w:rsidRDefault="00844C53" w:rsidP="00B5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D103" w14:textId="77777777" w:rsidR="00844C53" w:rsidRDefault="00844C53" w:rsidP="00B51CED">
      <w:pPr>
        <w:spacing w:after="0" w:line="240" w:lineRule="auto"/>
      </w:pPr>
      <w:r>
        <w:separator/>
      </w:r>
    </w:p>
  </w:footnote>
  <w:footnote w:type="continuationSeparator" w:id="0">
    <w:p w14:paraId="3482E9B0" w14:textId="77777777" w:rsidR="00844C53" w:rsidRDefault="00844C53" w:rsidP="00B5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72F5" w14:textId="06460A76" w:rsidR="00B51CED" w:rsidRDefault="00B51CED" w:rsidP="006A3A8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0BFC8D" wp14:editId="4E8FC8A3">
          <wp:simplePos x="0" y="0"/>
          <wp:positionH relativeFrom="column">
            <wp:posOffset>2260600</wp:posOffset>
          </wp:positionH>
          <wp:positionV relativeFrom="paragraph">
            <wp:posOffset>-125730</wp:posOffset>
          </wp:positionV>
          <wp:extent cx="1828800" cy="940951"/>
          <wp:effectExtent l="0" t="0" r="0" b="0"/>
          <wp:wrapTight wrapText="bothSides">
            <wp:wrapPolygon edited="0">
              <wp:start x="2475" y="0"/>
              <wp:lineTo x="0" y="4813"/>
              <wp:lineTo x="0" y="10501"/>
              <wp:lineTo x="3825" y="14001"/>
              <wp:lineTo x="3600" y="19689"/>
              <wp:lineTo x="6075" y="21002"/>
              <wp:lineTo x="19125" y="21002"/>
              <wp:lineTo x="20700" y="21002"/>
              <wp:lineTo x="21375" y="19689"/>
              <wp:lineTo x="21375" y="4813"/>
              <wp:lineTo x="4500" y="0"/>
              <wp:lineTo x="2475" y="0"/>
            </wp:wrapPolygon>
          </wp:wrapTight>
          <wp:docPr id="11528285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828508" name="Picture 1152828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40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ED"/>
    <w:rsid w:val="002519BC"/>
    <w:rsid w:val="006A3A80"/>
    <w:rsid w:val="00844C53"/>
    <w:rsid w:val="00A630C3"/>
    <w:rsid w:val="00B51CED"/>
    <w:rsid w:val="00C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0FD88"/>
  <w15:chartTrackingRefBased/>
  <w15:docId w15:val="{AA318114-36C5-4FDB-8AF0-3DB7C5C0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C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CED"/>
  </w:style>
  <w:style w:type="paragraph" w:styleId="Footer">
    <w:name w:val="footer"/>
    <w:basedOn w:val="Normal"/>
    <w:link w:val="FooterChar"/>
    <w:uiPriority w:val="99"/>
    <w:unhideWhenUsed/>
    <w:rsid w:val="00B51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431</Words>
  <Characters>2157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Neville</dc:creator>
  <cp:keywords/>
  <dc:description/>
  <cp:lastModifiedBy>Helen Neville</cp:lastModifiedBy>
  <cp:revision>1</cp:revision>
  <dcterms:created xsi:type="dcterms:W3CDTF">2026-03-16T14:55:00Z</dcterms:created>
  <dcterms:modified xsi:type="dcterms:W3CDTF">2026-03-16T15:17:00Z</dcterms:modified>
</cp:coreProperties>
</file>